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C0EB6" w14:textId="77777777" w:rsidR="00C71D0F" w:rsidRDefault="008E121C" w:rsidP="00C64BEB">
      <w:pPr>
        <w:pStyle w:val="Heading1"/>
        <w:spacing w:after="0" w:line="240" w:lineRule="auto"/>
        <w:jc w:val="center"/>
      </w:pPr>
      <w:bookmarkStart w:id="0" w:name="chuong_pl3"/>
      <w:bookmarkStart w:id="1" w:name="_Toc214546322"/>
      <w:r w:rsidRPr="003669C0">
        <w:t xml:space="preserve">PHỤ LỤC </w:t>
      </w:r>
      <w:bookmarkStart w:id="2" w:name="chuong_pl3_name"/>
      <w:bookmarkEnd w:id="0"/>
      <w:r w:rsidRPr="003669C0">
        <w:t>14</w:t>
      </w:r>
      <w:r w:rsidRPr="003669C0">
        <w:rPr>
          <w:b w:val="0"/>
          <w:bCs w:val="0"/>
        </w:rPr>
        <w:br/>
      </w:r>
      <w:r w:rsidRPr="003669C0">
        <w:t>KÍCH THƯỚC VÙNG BẢO VỆ VÀ KHU VỰC LẬP KẾ HOẠCH</w:t>
      </w:r>
      <w:bookmarkEnd w:id="2"/>
      <w:r w:rsidRPr="003669C0">
        <w:t xml:space="preserve"> </w:t>
      </w:r>
    </w:p>
    <w:bookmarkEnd w:id="1"/>
    <w:p w14:paraId="76607416" w14:textId="77777777" w:rsidR="00B15EC5" w:rsidRPr="00AF38CF" w:rsidRDefault="00B15EC5" w:rsidP="00C64BEB">
      <w:pPr>
        <w:pStyle w:val="Heading1"/>
        <w:spacing w:after="0" w:line="240" w:lineRule="auto"/>
        <w:jc w:val="center"/>
      </w:pPr>
      <w:r w:rsidRPr="00926F72">
        <w:rPr>
          <w:b w:val="0"/>
          <w:bCs w:val="0"/>
          <w:i/>
          <w:iCs/>
        </w:rPr>
        <w:t>(Kèm theo Thông tư số 59/2025/TT-BKHCN ngày 31 tháng 12 năm 2025</w:t>
      </w:r>
      <w:r>
        <w:br/>
      </w:r>
      <w:r w:rsidRPr="00926F72">
        <w:rPr>
          <w:b w:val="0"/>
          <w:bCs w:val="0"/>
          <w:i/>
          <w:iCs/>
        </w:rPr>
        <w:t>của Bộ trưởng Bộ Khoa học và Công nghệ)</w:t>
      </w:r>
    </w:p>
    <w:p w14:paraId="2114480C" w14:textId="77777777" w:rsidR="008E121C" w:rsidRPr="003669C0" w:rsidRDefault="008E121C" w:rsidP="008E121C">
      <w:pPr>
        <w:spacing w:before="240"/>
        <w:jc w:val="both"/>
        <w:rPr>
          <w:color w:val="auto"/>
        </w:rPr>
      </w:pPr>
      <w:r w:rsidRPr="003669C0">
        <w:rPr>
          <w:b/>
          <w:bCs/>
          <w:color w:val="auto"/>
        </w:rPr>
        <w:t>I. KÍCH THƯỚC VÙNG BẢO VỆ</w:t>
      </w:r>
    </w:p>
    <w:p w14:paraId="221CA5AA" w14:textId="77777777" w:rsidR="008E121C" w:rsidRPr="003669C0" w:rsidRDefault="008E121C" w:rsidP="008E121C">
      <w:pPr>
        <w:spacing w:before="240"/>
        <w:jc w:val="both"/>
        <w:rPr>
          <w:color w:val="auto"/>
        </w:rPr>
      </w:pPr>
      <w:r w:rsidRPr="003669C0">
        <w:rPr>
          <w:color w:val="auto"/>
        </w:rPr>
        <w:t>Kích thước các vùng UPZ và PAZ trong bảng dưới được sử dụng để tham khảo đối với các loại lò phản ứng và nguồn phóng xạ.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5"/>
        <w:gridCol w:w="2347"/>
        <w:gridCol w:w="2690"/>
      </w:tblGrid>
      <w:tr w:rsidR="008E121C" w:rsidRPr="003669C0" w14:paraId="11D187AB" w14:textId="77777777" w:rsidTr="0016375E">
        <w:tc>
          <w:tcPr>
            <w:tcW w:w="2221" w:type="pct"/>
            <w:tcMar>
              <w:top w:w="0" w:type="dxa"/>
              <w:left w:w="0" w:type="dxa"/>
              <w:bottom w:w="0" w:type="dxa"/>
              <w:right w:w="0" w:type="dxa"/>
            </w:tcMar>
            <w:vAlign w:val="center"/>
          </w:tcPr>
          <w:p w14:paraId="400C322A" w14:textId="77777777" w:rsidR="008E121C" w:rsidRPr="003669C0" w:rsidRDefault="008E121C" w:rsidP="0016375E">
            <w:pPr>
              <w:spacing w:before="240"/>
              <w:jc w:val="center"/>
              <w:rPr>
                <w:color w:val="auto"/>
              </w:rPr>
            </w:pPr>
            <w:r w:rsidRPr="003669C0">
              <w:rPr>
                <w:b/>
                <w:bCs/>
                <w:color w:val="auto"/>
              </w:rPr>
              <w:t>Công suất lò phản ứng (LPƯ)/ Mức độ nguy hiểm của nguồn phóng xạ (A/D</w:t>
            </w:r>
            <w:r w:rsidRPr="003669C0">
              <w:rPr>
                <w:b/>
                <w:bCs/>
                <w:color w:val="auto"/>
                <w:vertAlign w:val="superscript"/>
              </w:rPr>
              <w:t>a</w:t>
            </w:r>
            <w:r w:rsidRPr="003669C0">
              <w:rPr>
                <w:b/>
                <w:bCs/>
                <w:color w:val="auto"/>
              </w:rPr>
              <w:t>)</w:t>
            </w:r>
          </w:p>
        </w:tc>
        <w:tc>
          <w:tcPr>
            <w:tcW w:w="1295" w:type="pct"/>
            <w:tcMar>
              <w:top w:w="0" w:type="dxa"/>
              <w:left w:w="0" w:type="dxa"/>
              <w:bottom w:w="0" w:type="dxa"/>
              <w:right w:w="0" w:type="dxa"/>
            </w:tcMar>
            <w:vAlign w:val="center"/>
          </w:tcPr>
          <w:p w14:paraId="2EED5312" w14:textId="77777777" w:rsidR="008E121C" w:rsidRPr="003669C0" w:rsidRDefault="008E121C" w:rsidP="0016375E">
            <w:pPr>
              <w:spacing w:before="240"/>
              <w:jc w:val="center"/>
              <w:rPr>
                <w:color w:val="auto"/>
              </w:rPr>
            </w:pPr>
            <w:r w:rsidRPr="003669C0">
              <w:rPr>
                <w:b/>
                <w:bCs/>
                <w:color w:val="auto"/>
              </w:rPr>
              <w:t>Bán kính vùng bảo vệ khẩn cấp</w:t>
            </w:r>
          </w:p>
          <w:p w14:paraId="61989CE6" w14:textId="77777777" w:rsidR="008E121C" w:rsidRPr="003669C0" w:rsidRDefault="008E121C" w:rsidP="0016375E">
            <w:pPr>
              <w:spacing w:before="240"/>
              <w:jc w:val="center"/>
              <w:rPr>
                <w:color w:val="auto"/>
              </w:rPr>
            </w:pPr>
            <w:r w:rsidRPr="003669C0">
              <w:rPr>
                <w:b/>
                <w:bCs/>
                <w:color w:val="auto"/>
              </w:rPr>
              <w:t>(PAZ)</w:t>
            </w:r>
          </w:p>
        </w:tc>
        <w:tc>
          <w:tcPr>
            <w:tcW w:w="1484" w:type="pct"/>
            <w:tcMar>
              <w:top w:w="0" w:type="dxa"/>
              <w:left w:w="0" w:type="dxa"/>
              <w:bottom w:w="0" w:type="dxa"/>
              <w:right w:w="0" w:type="dxa"/>
            </w:tcMar>
            <w:vAlign w:val="center"/>
          </w:tcPr>
          <w:p w14:paraId="36C808B5" w14:textId="77777777" w:rsidR="008E121C" w:rsidRPr="003669C0" w:rsidRDefault="008E121C" w:rsidP="0016375E">
            <w:pPr>
              <w:spacing w:before="240"/>
              <w:jc w:val="center"/>
              <w:rPr>
                <w:color w:val="auto"/>
              </w:rPr>
            </w:pPr>
            <w:r w:rsidRPr="003669C0">
              <w:rPr>
                <w:b/>
                <w:bCs/>
                <w:color w:val="auto"/>
              </w:rPr>
              <w:t>Bán kính vùng lập kế hoạch bảo vệ khẩn cấp</w:t>
            </w:r>
          </w:p>
          <w:p w14:paraId="3302E9D6" w14:textId="77777777" w:rsidR="008E121C" w:rsidRPr="003669C0" w:rsidRDefault="008E121C" w:rsidP="0016375E">
            <w:pPr>
              <w:spacing w:before="240"/>
              <w:jc w:val="center"/>
              <w:rPr>
                <w:color w:val="auto"/>
              </w:rPr>
            </w:pPr>
            <w:r w:rsidRPr="003669C0">
              <w:rPr>
                <w:b/>
                <w:bCs/>
                <w:color w:val="auto"/>
              </w:rPr>
              <w:t>(UPZ)</w:t>
            </w:r>
          </w:p>
        </w:tc>
      </w:tr>
      <w:tr w:rsidR="008E121C" w:rsidRPr="003669C0" w14:paraId="108CD9E0" w14:textId="77777777" w:rsidTr="0016375E">
        <w:tc>
          <w:tcPr>
            <w:tcW w:w="5000" w:type="pct"/>
            <w:gridSpan w:val="3"/>
            <w:tcMar>
              <w:top w:w="0" w:type="dxa"/>
              <w:left w:w="0" w:type="dxa"/>
              <w:bottom w:w="0" w:type="dxa"/>
              <w:right w:w="0" w:type="dxa"/>
            </w:tcMar>
            <w:vAlign w:val="center"/>
          </w:tcPr>
          <w:p w14:paraId="2E4E6531" w14:textId="77777777" w:rsidR="008E121C" w:rsidRPr="003669C0" w:rsidRDefault="008E121C" w:rsidP="0016375E">
            <w:pPr>
              <w:spacing w:before="240"/>
              <w:jc w:val="center"/>
              <w:rPr>
                <w:color w:val="auto"/>
              </w:rPr>
            </w:pPr>
            <w:r w:rsidRPr="003669C0">
              <w:rPr>
                <w:b/>
                <w:bCs/>
                <w:color w:val="auto"/>
              </w:rPr>
              <w:t>Cơ sở thuộc Nhóm chuẩn bị ứng phó sự cố I</w:t>
            </w:r>
          </w:p>
        </w:tc>
      </w:tr>
      <w:tr w:rsidR="008E121C" w:rsidRPr="003669C0" w14:paraId="5186E46A" w14:textId="77777777" w:rsidTr="0016375E">
        <w:tc>
          <w:tcPr>
            <w:tcW w:w="2221" w:type="pct"/>
            <w:tcMar>
              <w:top w:w="0" w:type="dxa"/>
              <w:left w:w="0" w:type="dxa"/>
              <w:bottom w:w="0" w:type="dxa"/>
              <w:right w:w="0" w:type="dxa"/>
            </w:tcMar>
            <w:vAlign w:val="center"/>
          </w:tcPr>
          <w:p w14:paraId="068F2E63" w14:textId="77777777" w:rsidR="008E121C" w:rsidRPr="003669C0" w:rsidRDefault="008E121C" w:rsidP="0016375E">
            <w:pPr>
              <w:spacing w:before="240"/>
              <w:jc w:val="center"/>
              <w:rPr>
                <w:color w:val="auto"/>
              </w:rPr>
            </w:pPr>
            <w:r w:rsidRPr="003669C0">
              <w:rPr>
                <w:color w:val="auto"/>
              </w:rPr>
              <w:t>LPƯ &gt; 1000 MW (th)</w:t>
            </w:r>
          </w:p>
        </w:tc>
        <w:tc>
          <w:tcPr>
            <w:tcW w:w="1295" w:type="pct"/>
            <w:tcMar>
              <w:top w:w="0" w:type="dxa"/>
              <w:left w:w="0" w:type="dxa"/>
              <w:bottom w:w="0" w:type="dxa"/>
              <w:right w:w="0" w:type="dxa"/>
            </w:tcMar>
            <w:vAlign w:val="center"/>
          </w:tcPr>
          <w:p w14:paraId="3DF32E6F" w14:textId="77777777" w:rsidR="008E121C" w:rsidRPr="003669C0" w:rsidRDefault="008E121C" w:rsidP="0016375E">
            <w:pPr>
              <w:spacing w:before="240"/>
              <w:jc w:val="center"/>
              <w:rPr>
                <w:color w:val="auto"/>
              </w:rPr>
            </w:pPr>
            <w:r w:rsidRPr="003669C0">
              <w:rPr>
                <w:color w:val="auto"/>
              </w:rPr>
              <w:t>3-5 km</w:t>
            </w:r>
          </w:p>
        </w:tc>
        <w:tc>
          <w:tcPr>
            <w:tcW w:w="1484" w:type="pct"/>
            <w:tcMar>
              <w:top w:w="0" w:type="dxa"/>
              <w:left w:w="0" w:type="dxa"/>
              <w:bottom w:w="0" w:type="dxa"/>
              <w:right w:w="0" w:type="dxa"/>
            </w:tcMar>
            <w:vAlign w:val="center"/>
          </w:tcPr>
          <w:p w14:paraId="35492115" w14:textId="77777777" w:rsidR="008E121C" w:rsidRPr="003669C0" w:rsidRDefault="008E121C" w:rsidP="0016375E">
            <w:pPr>
              <w:spacing w:before="240"/>
              <w:jc w:val="center"/>
              <w:rPr>
                <w:color w:val="auto"/>
              </w:rPr>
            </w:pPr>
            <w:r w:rsidRPr="003669C0">
              <w:rPr>
                <w:color w:val="auto"/>
              </w:rPr>
              <w:t>5-30 km</w:t>
            </w:r>
          </w:p>
        </w:tc>
      </w:tr>
      <w:tr w:rsidR="008E121C" w:rsidRPr="003669C0" w14:paraId="3A6EA74B" w14:textId="77777777" w:rsidTr="0016375E">
        <w:tc>
          <w:tcPr>
            <w:tcW w:w="2221" w:type="pct"/>
            <w:tcMar>
              <w:top w:w="0" w:type="dxa"/>
              <w:left w:w="0" w:type="dxa"/>
              <w:bottom w:w="0" w:type="dxa"/>
              <w:right w:w="0" w:type="dxa"/>
            </w:tcMar>
            <w:vAlign w:val="center"/>
          </w:tcPr>
          <w:p w14:paraId="3EF5A2C8" w14:textId="77777777" w:rsidR="008E121C" w:rsidRPr="003669C0" w:rsidRDefault="008E121C" w:rsidP="0016375E">
            <w:pPr>
              <w:spacing w:before="240"/>
              <w:jc w:val="center"/>
              <w:rPr>
                <w:color w:val="auto"/>
              </w:rPr>
            </w:pPr>
            <w:r w:rsidRPr="003669C0">
              <w:rPr>
                <w:color w:val="auto"/>
              </w:rPr>
              <w:t>100 &lt; LPƯ ≤ 1000 MW (th)</w:t>
            </w:r>
          </w:p>
        </w:tc>
        <w:tc>
          <w:tcPr>
            <w:tcW w:w="1295" w:type="pct"/>
            <w:tcMar>
              <w:top w:w="0" w:type="dxa"/>
              <w:left w:w="0" w:type="dxa"/>
              <w:bottom w:w="0" w:type="dxa"/>
              <w:right w:w="0" w:type="dxa"/>
            </w:tcMar>
            <w:vAlign w:val="center"/>
          </w:tcPr>
          <w:p w14:paraId="70729830" w14:textId="77777777" w:rsidR="008E121C" w:rsidRPr="003669C0" w:rsidRDefault="008E121C" w:rsidP="0016375E">
            <w:pPr>
              <w:spacing w:before="240"/>
              <w:jc w:val="center"/>
              <w:rPr>
                <w:color w:val="auto"/>
              </w:rPr>
            </w:pPr>
            <w:r w:rsidRPr="003669C0">
              <w:rPr>
                <w:color w:val="auto"/>
              </w:rPr>
              <w:t>0,5-3 km</w:t>
            </w:r>
          </w:p>
        </w:tc>
        <w:tc>
          <w:tcPr>
            <w:tcW w:w="1484" w:type="pct"/>
            <w:tcMar>
              <w:top w:w="0" w:type="dxa"/>
              <w:left w:w="0" w:type="dxa"/>
              <w:bottom w:w="0" w:type="dxa"/>
              <w:right w:w="0" w:type="dxa"/>
            </w:tcMar>
            <w:vAlign w:val="center"/>
          </w:tcPr>
          <w:p w14:paraId="774558DA" w14:textId="77777777" w:rsidR="008E121C" w:rsidRPr="003669C0" w:rsidRDefault="008E121C" w:rsidP="0016375E">
            <w:pPr>
              <w:spacing w:before="240"/>
              <w:jc w:val="center"/>
              <w:rPr>
                <w:color w:val="auto"/>
              </w:rPr>
            </w:pPr>
            <w:r w:rsidRPr="003669C0">
              <w:rPr>
                <w:color w:val="auto"/>
              </w:rPr>
              <w:t>5-30 km</w:t>
            </w:r>
          </w:p>
        </w:tc>
      </w:tr>
      <w:tr w:rsidR="008E121C" w:rsidRPr="003669C0" w14:paraId="641DCE5C" w14:textId="77777777" w:rsidTr="0016375E">
        <w:tc>
          <w:tcPr>
            <w:tcW w:w="2221" w:type="pct"/>
            <w:tcMar>
              <w:top w:w="0" w:type="dxa"/>
              <w:left w:w="0" w:type="dxa"/>
              <w:bottom w:w="0" w:type="dxa"/>
              <w:right w:w="0" w:type="dxa"/>
            </w:tcMar>
            <w:vAlign w:val="center"/>
          </w:tcPr>
          <w:p w14:paraId="4214CB14" w14:textId="77777777" w:rsidR="008E121C" w:rsidRPr="003669C0" w:rsidRDefault="008E121C" w:rsidP="0016375E">
            <w:pPr>
              <w:spacing w:before="240"/>
              <w:jc w:val="center"/>
              <w:rPr>
                <w:color w:val="auto"/>
              </w:rPr>
            </w:pPr>
            <w:r w:rsidRPr="003669C0">
              <w:rPr>
                <w:color w:val="auto"/>
              </w:rPr>
              <w:t>A/D ≥ 10</w:t>
            </w:r>
            <w:r w:rsidRPr="003669C0">
              <w:rPr>
                <w:color w:val="auto"/>
                <w:vertAlign w:val="superscript"/>
              </w:rPr>
              <w:t>5</w:t>
            </w:r>
          </w:p>
        </w:tc>
        <w:tc>
          <w:tcPr>
            <w:tcW w:w="1295" w:type="pct"/>
            <w:tcMar>
              <w:top w:w="0" w:type="dxa"/>
              <w:left w:w="0" w:type="dxa"/>
              <w:bottom w:w="0" w:type="dxa"/>
              <w:right w:w="0" w:type="dxa"/>
            </w:tcMar>
            <w:vAlign w:val="center"/>
          </w:tcPr>
          <w:p w14:paraId="32BF8825" w14:textId="77777777" w:rsidR="008E121C" w:rsidRPr="003669C0" w:rsidRDefault="008E121C" w:rsidP="0016375E">
            <w:pPr>
              <w:spacing w:before="240"/>
              <w:jc w:val="center"/>
              <w:rPr>
                <w:color w:val="auto"/>
              </w:rPr>
            </w:pPr>
            <w:r w:rsidRPr="003669C0">
              <w:rPr>
                <w:color w:val="auto"/>
              </w:rPr>
              <w:t>3-5 km</w:t>
            </w:r>
          </w:p>
        </w:tc>
        <w:tc>
          <w:tcPr>
            <w:tcW w:w="1484" w:type="pct"/>
            <w:tcMar>
              <w:top w:w="0" w:type="dxa"/>
              <w:left w:w="0" w:type="dxa"/>
              <w:bottom w:w="0" w:type="dxa"/>
              <w:right w:w="0" w:type="dxa"/>
            </w:tcMar>
            <w:vAlign w:val="center"/>
          </w:tcPr>
          <w:p w14:paraId="78D6D106" w14:textId="77777777" w:rsidR="008E121C" w:rsidRPr="003669C0" w:rsidRDefault="008E121C" w:rsidP="0016375E">
            <w:pPr>
              <w:spacing w:before="240"/>
              <w:jc w:val="center"/>
              <w:rPr>
                <w:color w:val="auto"/>
              </w:rPr>
            </w:pPr>
            <w:r w:rsidRPr="003669C0">
              <w:rPr>
                <w:color w:val="auto"/>
              </w:rPr>
              <w:t>5-30 km</w:t>
            </w:r>
          </w:p>
        </w:tc>
      </w:tr>
      <w:tr w:rsidR="008E121C" w:rsidRPr="003669C0" w14:paraId="6DE1F1FB" w14:textId="77777777" w:rsidTr="0016375E">
        <w:tc>
          <w:tcPr>
            <w:tcW w:w="2221" w:type="pct"/>
            <w:tcMar>
              <w:top w:w="0" w:type="dxa"/>
              <w:left w:w="0" w:type="dxa"/>
              <w:bottom w:w="0" w:type="dxa"/>
              <w:right w:w="0" w:type="dxa"/>
            </w:tcMar>
            <w:vAlign w:val="center"/>
          </w:tcPr>
          <w:p w14:paraId="668290F0" w14:textId="77777777" w:rsidR="008E121C" w:rsidRPr="003669C0" w:rsidRDefault="008E121C" w:rsidP="0016375E">
            <w:pPr>
              <w:spacing w:before="240"/>
              <w:jc w:val="center"/>
              <w:rPr>
                <w:color w:val="auto"/>
              </w:rPr>
            </w:pPr>
            <w:r w:rsidRPr="003669C0">
              <w:rPr>
                <w:color w:val="auto"/>
              </w:rPr>
              <w:t>10</w:t>
            </w:r>
            <w:r w:rsidRPr="003669C0">
              <w:rPr>
                <w:color w:val="auto"/>
                <w:vertAlign w:val="superscript"/>
              </w:rPr>
              <w:t>4</w:t>
            </w:r>
            <w:r w:rsidRPr="003669C0">
              <w:rPr>
                <w:color w:val="auto"/>
              </w:rPr>
              <w:t xml:space="preserve"> ≤ A/D &lt; 10</w:t>
            </w:r>
            <w:r w:rsidRPr="003669C0">
              <w:rPr>
                <w:color w:val="auto"/>
                <w:vertAlign w:val="superscript"/>
              </w:rPr>
              <w:t>5</w:t>
            </w:r>
          </w:p>
        </w:tc>
        <w:tc>
          <w:tcPr>
            <w:tcW w:w="1295" w:type="pct"/>
            <w:tcMar>
              <w:top w:w="0" w:type="dxa"/>
              <w:left w:w="0" w:type="dxa"/>
              <w:bottom w:w="0" w:type="dxa"/>
              <w:right w:w="0" w:type="dxa"/>
            </w:tcMar>
            <w:vAlign w:val="center"/>
          </w:tcPr>
          <w:p w14:paraId="39FF2825" w14:textId="77777777" w:rsidR="008E121C" w:rsidRPr="003669C0" w:rsidRDefault="008E121C" w:rsidP="0016375E">
            <w:pPr>
              <w:spacing w:before="240"/>
              <w:jc w:val="center"/>
              <w:rPr>
                <w:color w:val="auto"/>
              </w:rPr>
            </w:pPr>
            <w:r w:rsidRPr="003669C0">
              <w:rPr>
                <w:color w:val="auto"/>
              </w:rPr>
              <w:t>0,5-3 km</w:t>
            </w:r>
          </w:p>
        </w:tc>
        <w:tc>
          <w:tcPr>
            <w:tcW w:w="1484" w:type="pct"/>
            <w:tcMar>
              <w:top w:w="0" w:type="dxa"/>
              <w:left w:w="0" w:type="dxa"/>
              <w:bottom w:w="0" w:type="dxa"/>
              <w:right w:w="0" w:type="dxa"/>
            </w:tcMar>
            <w:vAlign w:val="center"/>
          </w:tcPr>
          <w:p w14:paraId="0CB3EEEF" w14:textId="77777777" w:rsidR="008E121C" w:rsidRPr="003669C0" w:rsidRDefault="008E121C" w:rsidP="0016375E">
            <w:pPr>
              <w:spacing w:before="240"/>
              <w:jc w:val="center"/>
              <w:rPr>
                <w:color w:val="auto"/>
              </w:rPr>
            </w:pPr>
            <w:r w:rsidRPr="003669C0">
              <w:rPr>
                <w:color w:val="auto"/>
              </w:rPr>
              <w:t>5-30 km</w:t>
            </w:r>
          </w:p>
        </w:tc>
      </w:tr>
      <w:tr w:rsidR="008E121C" w:rsidRPr="003669C0" w14:paraId="61F8028A" w14:textId="77777777" w:rsidTr="0016375E">
        <w:tc>
          <w:tcPr>
            <w:tcW w:w="5000" w:type="pct"/>
            <w:gridSpan w:val="3"/>
            <w:tcMar>
              <w:top w:w="0" w:type="dxa"/>
              <w:left w:w="0" w:type="dxa"/>
              <w:bottom w:w="0" w:type="dxa"/>
              <w:right w:w="0" w:type="dxa"/>
            </w:tcMar>
            <w:vAlign w:val="center"/>
          </w:tcPr>
          <w:p w14:paraId="100D1C01" w14:textId="77777777" w:rsidR="008E121C" w:rsidRPr="003669C0" w:rsidRDefault="008E121C" w:rsidP="0016375E">
            <w:pPr>
              <w:spacing w:before="240"/>
              <w:jc w:val="center"/>
              <w:rPr>
                <w:color w:val="auto"/>
              </w:rPr>
            </w:pPr>
            <w:r w:rsidRPr="003669C0">
              <w:rPr>
                <w:b/>
                <w:bCs/>
                <w:color w:val="auto"/>
              </w:rPr>
              <w:t>Cơ sở thuộc Nhóm chuẩn bị ứng phó sự cố II</w:t>
            </w:r>
          </w:p>
        </w:tc>
      </w:tr>
      <w:tr w:rsidR="008E121C" w:rsidRPr="003669C0" w14:paraId="10E5A712" w14:textId="77777777" w:rsidTr="0016375E">
        <w:tc>
          <w:tcPr>
            <w:tcW w:w="2221" w:type="pct"/>
            <w:tcMar>
              <w:top w:w="0" w:type="dxa"/>
              <w:left w:w="0" w:type="dxa"/>
              <w:bottom w:w="0" w:type="dxa"/>
              <w:right w:w="0" w:type="dxa"/>
            </w:tcMar>
            <w:vAlign w:val="center"/>
          </w:tcPr>
          <w:p w14:paraId="02866079" w14:textId="77777777" w:rsidR="008E121C" w:rsidRPr="003669C0" w:rsidRDefault="008E121C" w:rsidP="0016375E">
            <w:pPr>
              <w:spacing w:before="240"/>
              <w:jc w:val="center"/>
              <w:rPr>
                <w:color w:val="auto"/>
              </w:rPr>
            </w:pPr>
            <w:r w:rsidRPr="003669C0">
              <w:rPr>
                <w:color w:val="auto"/>
              </w:rPr>
              <w:t>10 ≤ LPƯ ≤ 100 MW (th)</w:t>
            </w:r>
          </w:p>
        </w:tc>
        <w:tc>
          <w:tcPr>
            <w:tcW w:w="1295" w:type="pct"/>
            <w:tcMar>
              <w:top w:w="0" w:type="dxa"/>
              <w:left w:w="0" w:type="dxa"/>
              <w:bottom w:w="0" w:type="dxa"/>
              <w:right w:w="0" w:type="dxa"/>
            </w:tcMar>
            <w:vAlign w:val="center"/>
          </w:tcPr>
          <w:p w14:paraId="782FAA7D" w14:textId="77777777" w:rsidR="008E121C" w:rsidRPr="003669C0" w:rsidRDefault="008E121C" w:rsidP="0016375E">
            <w:pPr>
              <w:spacing w:before="240"/>
              <w:jc w:val="center"/>
              <w:rPr>
                <w:color w:val="auto"/>
              </w:rPr>
            </w:pPr>
            <w:r w:rsidRPr="003669C0">
              <w:rPr>
                <w:color w:val="auto"/>
              </w:rPr>
              <w:t>Không</w:t>
            </w:r>
          </w:p>
        </w:tc>
        <w:tc>
          <w:tcPr>
            <w:tcW w:w="1484" w:type="pct"/>
            <w:tcMar>
              <w:top w:w="0" w:type="dxa"/>
              <w:left w:w="0" w:type="dxa"/>
              <w:bottom w:w="0" w:type="dxa"/>
              <w:right w:w="0" w:type="dxa"/>
            </w:tcMar>
            <w:vAlign w:val="center"/>
          </w:tcPr>
          <w:p w14:paraId="57AC87E1" w14:textId="77777777" w:rsidR="008E121C" w:rsidRPr="003669C0" w:rsidRDefault="008E121C" w:rsidP="0016375E">
            <w:pPr>
              <w:spacing w:before="240"/>
              <w:jc w:val="center"/>
              <w:rPr>
                <w:color w:val="auto"/>
              </w:rPr>
            </w:pPr>
            <w:r w:rsidRPr="003669C0">
              <w:rPr>
                <w:color w:val="auto"/>
              </w:rPr>
              <w:t>0,5-5 km</w:t>
            </w:r>
          </w:p>
        </w:tc>
      </w:tr>
      <w:tr w:rsidR="008E121C" w:rsidRPr="003669C0" w14:paraId="2A3E7730" w14:textId="77777777" w:rsidTr="0016375E">
        <w:tc>
          <w:tcPr>
            <w:tcW w:w="2221" w:type="pct"/>
            <w:tcMar>
              <w:top w:w="0" w:type="dxa"/>
              <w:left w:w="0" w:type="dxa"/>
              <w:bottom w:w="0" w:type="dxa"/>
              <w:right w:w="0" w:type="dxa"/>
            </w:tcMar>
            <w:vAlign w:val="center"/>
          </w:tcPr>
          <w:p w14:paraId="55471955" w14:textId="77777777" w:rsidR="008E121C" w:rsidRPr="003669C0" w:rsidRDefault="008E121C" w:rsidP="0016375E">
            <w:pPr>
              <w:spacing w:before="240"/>
              <w:jc w:val="center"/>
              <w:rPr>
                <w:color w:val="auto"/>
              </w:rPr>
            </w:pPr>
            <w:r w:rsidRPr="003669C0">
              <w:rPr>
                <w:color w:val="auto"/>
              </w:rPr>
              <w:t>2 &lt; LPƯ &lt; 10 MW (th)</w:t>
            </w:r>
          </w:p>
        </w:tc>
        <w:tc>
          <w:tcPr>
            <w:tcW w:w="1295" w:type="pct"/>
            <w:tcMar>
              <w:top w:w="0" w:type="dxa"/>
              <w:left w:w="0" w:type="dxa"/>
              <w:bottom w:w="0" w:type="dxa"/>
              <w:right w:w="0" w:type="dxa"/>
            </w:tcMar>
            <w:vAlign w:val="center"/>
          </w:tcPr>
          <w:p w14:paraId="23A3A9C6" w14:textId="77777777" w:rsidR="008E121C" w:rsidRPr="003669C0" w:rsidRDefault="008E121C" w:rsidP="0016375E">
            <w:pPr>
              <w:spacing w:before="240"/>
              <w:jc w:val="center"/>
              <w:rPr>
                <w:color w:val="auto"/>
              </w:rPr>
            </w:pPr>
            <w:r w:rsidRPr="003669C0">
              <w:rPr>
                <w:color w:val="auto"/>
              </w:rPr>
              <w:t>Không</w:t>
            </w:r>
          </w:p>
        </w:tc>
        <w:tc>
          <w:tcPr>
            <w:tcW w:w="1484" w:type="pct"/>
            <w:tcMar>
              <w:top w:w="0" w:type="dxa"/>
              <w:left w:w="0" w:type="dxa"/>
              <w:bottom w:w="0" w:type="dxa"/>
              <w:right w:w="0" w:type="dxa"/>
            </w:tcMar>
            <w:vAlign w:val="center"/>
          </w:tcPr>
          <w:p w14:paraId="58B4C6E0" w14:textId="77777777" w:rsidR="008E121C" w:rsidRPr="003669C0" w:rsidRDefault="008E121C" w:rsidP="0016375E">
            <w:pPr>
              <w:spacing w:before="240"/>
              <w:jc w:val="center"/>
              <w:rPr>
                <w:color w:val="auto"/>
              </w:rPr>
            </w:pPr>
            <w:r w:rsidRPr="003669C0">
              <w:rPr>
                <w:color w:val="auto"/>
              </w:rPr>
              <w:t>0,5 km</w:t>
            </w:r>
          </w:p>
        </w:tc>
      </w:tr>
      <w:tr w:rsidR="008E121C" w:rsidRPr="003669C0" w14:paraId="78D0C932" w14:textId="77777777" w:rsidTr="0016375E">
        <w:tc>
          <w:tcPr>
            <w:tcW w:w="2221" w:type="pct"/>
            <w:tcMar>
              <w:top w:w="0" w:type="dxa"/>
              <w:left w:w="0" w:type="dxa"/>
              <w:bottom w:w="0" w:type="dxa"/>
              <w:right w:w="0" w:type="dxa"/>
            </w:tcMar>
            <w:vAlign w:val="center"/>
          </w:tcPr>
          <w:p w14:paraId="396F30EC" w14:textId="77777777" w:rsidR="008E121C" w:rsidRPr="003669C0" w:rsidRDefault="008E121C" w:rsidP="0016375E">
            <w:pPr>
              <w:spacing w:before="240"/>
              <w:jc w:val="center"/>
              <w:rPr>
                <w:color w:val="auto"/>
              </w:rPr>
            </w:pPr>
            <w:r w:rsidRPr="003669C0">
              <w:rPr>
                <w:color w:val="auto"/>
              </w:rPr>
              <w:t>10</w:t>
            </w:r>
            <w:r w:rsidRPr="003669C0">
              <w:rPr>
                <w:color w:val="auto"/>
                <w:vertAlign w:val="superscript"/>
              </w:rPr>
              <w:t>3</w:t>
            </w:r>
            <w:r w:rsidRPr="003669C0">
              <w:rPr>
                <w:color w:val="auto"/>
              </w:rPr>
              <w:t xml:space="preserve"> ≤ A/D &lt; 10</w:t>
            </w:r>
            <w:r w:rsidRPr="003669C0">
              <w:rPr>
                <w:color w:val="auto"/>
                <w:vertAlign w:val="superscript"/>
              </w:rPr>
              <w:t>4</w:t>
            </w:r>
          </w:p>
        </w:tc>
        <w:tc>
          <w:tcPr>
            <w:tcW w:w="1295" w:type="pct"/>
            <w:tcMar>
              <w:top w:w="0" w:type="dxa"/>
              <w:left w:w="0" w:type="dxa"/>
              <w:bottom w:w="0" w:type="dxa"/>
              <w:right w:w="0" w:type="dxa"/>
            </w:tcMar>
            <w:vAlign w:val="center"/>
          </w:tcPr>
          <w:p w14:paraId="79B4A852" w14:textId="77777777" w:rsidR="008E121C" w:rsidRPr="003669C0" w:rsidRDefault="008E121C" w:rsidP="0016375E">
            <w:pPr>
              <w:spacing w:before="240"/>
              <w:jc w:val="center"/>
              <w:rPr>
                <w:color w:val="auto"/>
              </w:rPr>
            </w:pPr>
            <w:r w:rsidRPr="003669C0">
              <w:rPr>
                <w:color w:val="auto"/>
              </w:rPr>
              <w:t>Không</w:t>
            </w:r>
          </w:p>
        </w:tc>
        <w:tc>
          <w:tcPr>
            <w:tcW w:w="1484" w:type="pct"/>
            <w:tcMar>
              <w:top w:w="0" w:type="dxa"/>
              <w:left w:w="0" w:type="dxa"/>
              <w:bottom w:w="0" w:type="dxa"/>
              <w:right w:w="0" w:type="dxa"/>
            </w:tcMar>
            <w:vAlign w:val="center"/>
          </w:tcPr>
          <w:p w14:paraId="22AA42C8" w14:textId="77777777" w:rsidR="008E121C" w:rsidRPr="003669C0" w:rsidRDefault="008E121C" w:rsidP="0016375E">
            <w:pPr>
              <w:spacing w:before="240"/>
              <w:jc w:val="center"/>
              <w:rPr>
                <w:color w:val="auto"/>
              </w:rPr>
            </w:pPr>
            <w:r w:rsidRPr="003669C0">
              <w:rPr>
                <w:color w:val="auto"/>
              </w:rPr>
              <w:t>0,5-5 km</w:t>
            </w:r>
          </w:p>
        </w:tc>
      </w:tr>
      <w:tr w:rsidR="008E121C" w:rsidRPr="003669C0" w14:paraId="355D0AE0" w14:textId="77777777" w:rsidTr="0016375E">
        <w:tc>
          <w:tcPr>
            <w:tcW w:w="2221" w:type="pct"/>
            <w:tcMar>
              <w:top w:w="0" w:type="dxa"/>
              <w:left w:w="0" w:type="dxa"/>
              <w:bottom w:w="0" w:type="dxa"/>
              <w:right w:w="0" w:type="dxa"/>
            </w:tcMar>
            <w:vAlign w:val="center"/>
          </w:tcPr>
          <w:p w14:paraId="7CC37B7F" w14:textId="77777777" w:rsidR="008E121C" w:rsidRPr="003669C0" w:rsidRDefault="008E121C" w:rsidP="0016375E">
            <w:pPr>
              <w:spacing w:before="240"/>
              <w:jc w:val="center"/>
              <w:rPr>
                <w:color w:val="auto"/>
              </w:rPr>
            </w:pPr>
            <w:r w:rsidRPr="003669C0">
              <w:rPr>
                <w:color w:val="auto"/>
              </w:rPr>
              <w:t>10</w:t>
            </w:r>
            <w:r w:rsidRPr="003669C0">
              <w:rPr>
                <w:color w:val="auto"/>
                <w:vertAlign w:val="superscript"/>
              </w:rPr>
              <w:t>2</w:t>
            </w:r>
            <w:r w:rsidRPr="003669C0">
              <w:rPr>
                <w:color w:val="auto"/>
              </w:rPr>
              <w:t xml:space="preserve"> ≤ A/D&lt; 10</w:t>
            </w:r>
            <w:r w:rsidRPr="003669C0">
              <w:rPr>
                <w:color w:val="auto"/>
                <w:vertAlign w:val="superscript"/>
              </w:rPr>
              <w:t>3</w:t>
            </w:r>
          </w:p>
        </w:tc>
        <w:tc>
          <w:tcPr>
            <w:tcW w:w="1295" w:type="pct"/>
            <w:tcMar>
              <w:top w:w="0" w:type="dxa"/>
              <w:left w:w="0" w:type="dxa"/>
              <w:bottom w:w="0" w:type="dxa"/>
              <w:right w:w="0" w:type="dxa"/>
            </w:tcMar>
            <w:vAlign w:val="center"/>
          </w:tcPr>
          <w:p w14:paraId="7265AC8C" w14:textId="77777777" w:rsidR="008E121C" w:rsidRPr="003669C0" w:rsidRDefault="008E121C" w:rsidP="0016375E">
            <w:pPr>
              <w:spacing w:before="240"/>
              <w:jc w:val="center"/>
              <w:rPr>
                <w:color w:val="auto"/>
              </w:rPr>
            </w:pPr>
            <w:r w:rsidRPr="003669C0">
              <w:rPr>
                <w:color w:val="auto"/>
              </w:rPr>
              <w:t>Không</w:t>
            </w:r>
          </w:p>
        </w:tc>
        <w:tc>
          <w:tcPr>
            <w:tcW w:w="1484" w:type="pct"/>
            <w:tcMar>
              <w:top w:w="0" w:type="dxa"/>
              <w:left w:w="0" w:type="dxa"/>
              <w:bottom w:w="0" w:type="dxa"/>
              <w:right w:w="0" w:type="dxa"/>
            </w:tcMar>
            <w:vAlign w:val="center"/>
          </w:tcPr>
          <w:p w14:paraId="419968FA" w14:textId="77777777" w:rsidR="008E121C" w:rsidRPr="003669C0" w:rsidRDefault="008E121C" w:rsidP="0016375E">
            <w:pPr>
              <w:spacing w:before="240"/>
              <w:jc w:val="center"/>
              <w:rPr>
                <w:color w:val="auto"/>
              </w:rPr>
            </w:pPr>
            <w:r w:rsidRPr="003669C0">
              <w:rPr>
                <w:color w:val="auto"/>
              </w:rPr>
              <w:t>0,5 km</w:t>
            </w:r>
          </w:p>
        </w:tc>
      </w:tr>
      <w:tr w:rsidR="008E121C" w:rsidRPr="003669C0" w14:paraId="2446A3C7" w14:textId="77777777" w:rsidTr="0016375E">
        <w:tc>
          <w:tcPr>
            <w:tcW w:w="2221" w:type="pct"/>
            <w:tcMar>
              <w:top w:w="0" w:type="dxa"/>
              <w:left w:w="0" w:type="dxa"/>
              <w:bottom w:w="0" w:type="dxa"/>
              <w:right w:w="0" w:type="dxa"/>
            </w:tcMar>
            <w:vAlign w:val="center"/>
          </w:tcPr>
          <w:p w14:paraId="4D76F4DD" w14:textId="77777777" w:rsidR="008E121C" w:rsidRPr="003669C0" w:rsidRDefault="008E121C" w:rsidP="0016375E">
            <w:pPr>
              <w:spacing w:before="240"/>
              <w:jc w:val="center"/>
              <w:rPr>
                <w:color w:val="auto"/>
              </w:rPr>
            </w:pPr>
            <w:r w:rsidRPr="003669C0">
              <w:rPr>
                <w:color w:val="auto"/>
              </w:rPr>
              <w:t>Xuất hiện vật liệu phân hạch trong phạm vi 500 m từ biên Cơ sở</w:t>
            </w:r>
          </w:p>
        </w:tc>
        <w:tc>
          <w:tcPr>
            <w:tcW w:w="1295" w:type="pct"/>
            <w:tcMar>
              <w:top w:w="0" w:type="dxa"/>
              <w:left w:w="0" w:type="dxa"/>
              <w:bottom w:w="0" w:type="dxa"/>
              <w:right w:w="0" w:type="dxa"/>
            </w:tcMar>
            <w:vAlign w:val="center"/>
          </w:tcPr>
          <w:p w14:paraId="679C92AE" w14:textId="77777777" w:rsidR="008E121C" w:rsidRPr="003669C0" w:rsidRDefault="008E121C" w:rsidP="0016375E">
            <w:pPr>
              <w:spacing w:before="240"/>
              <w:jc w:val="center"/>
              <w:rPr>
                <w:color w:val="auto"/>
              </w:rPr>
            </w:pPr>
            <w:r w:rsidRPr="003669C0">
              <w:rPr>
                <w:color w:val="auto"/>
              </w:rPr>
              <w:t>Không</w:t>
            </w:r>
          </w:p>
        </w:tc>
        <w:tc>
          <w:tcPr>
            <w:tcW w:w="1484" w:type="pct"/>
            <w:tcMar>
              <w:top w:w="0" w:type="dxa"/>
              <w:left w:w="0" w:type="dxa"/>
              <w:bottom w:w="0" w:type="dxa"/>
              <w:right w:w="0" w:type="dxa"/>
            </w:tcMar>
            <w:vAlign w:val="center"/>
          </w:tcPr>
          <w:p w14:paraId="7CB41997" w14:textId="77777777" w:rsidR="008E121C" w:rsidRPr="003669C0" w:rsidRDefault="008E121C" w:rsidP="0016375E">
            <w:pPr>
              <w:spacing w:before="240"/>
              <w:jc w:val="center"/>
              <w:rPr>
                <w:color w:val="auto"/>
              </w:rPr>
            </w:pPr>
            <w:r w:rsidRPr="003669C0">
              <w:rPr>
                <w:color w:val="auto"/>
              </w:rPr>
              <w:t>0,5-1 km</w:t>
            </w:r>
          </w:p>
        </w:tc>
      </w:tr>
    </w:tbl>
    <w:p w14:paraId="21D0928F" w14:textId="77777777" w:rsidR="00A200B9" w:rsidRDefault="00A200B9" w:rsidP="008E121C">
      <w:pPr>
        <w:spacing w:before="240"/>
        <w:jc w:val="both"/>
        <w:rPr>
          <w:b/>
          <w:bCs/>
          <w:color w:val="auto"/>
        </w:rPr>
      </w:pPr>
    </w:p>
    <w:p w14:paraId="03006C35" w14:textId="77777777" w:rsidR="00A200B9" w:rsidRDefault="00A200B9">
      <w:pPr>
        <w:spacing w:after="160" w:line="259" w:lineRule="auto"/>
        <w:rPr>
          <w:b/>
          <w:bCs/>
          <w:color w:val="auto"/>
        </w:rPr>
      </w:pPr>
      <w:r>
        <w:rPr>
          <w:b/>
          <w:bCs/>
          <w:color w:val="auto"/>
        </w:rPr>
        <w:br w:type="page"/>
      </w:r>
    </w:p>
    <w:p w14:paraId="4505CEC0" w14:textId="59934D11" w:rsidR="008E121C" w:rsidRPr="003669C0" w:rsidRDefault="008E121C" w:rsidP="008E121C">
      <w:pPr>
        <w:spacing w:before="240"/>
        <w:jc w:val="both"/>
        <w:rPr>
          <w:color w:val="auto"/>
        </w:rPr>
      </w:pPr>
      <w:r w:rsidRPr="003669C0">
        <w:rPr>
          <w:b/>
          <w:bCs/>
          <w:color w:val="auto"/>
        </w:rPr>
        <w:lastRenderedPageBreak/>
        <w:t>II. KÍCH THƯỚC KHU VỰC LẬP KẾ HOẠCH</w:t>
      </w:r>
    </w:p>
    <w:p w14:paraId="0AD98434" w14:textId="77777777" w:rsidR="008E121C" w:rsidRPr="003669C0" w:rsidRDefault="008E121C" w:rsidP="008E121C">
      <w:pPr>
        <w:spacing w:before="240"/>
        <w:jc w:val="both"/>
        <w:rPr>
          <w:color w:val="auto"/>
        </w:rPr>
      </w:pPr>
      <w:r w:rsidRPr="003669C0">
        <w:rPr>
          <w:color w:val="auto"/>
        </w:rPr>
        <w:t>Kích thước các khu vực EPD và ICPD trong bảng dưới được sử dụng để tham khảo đối với các loại lò phản ứng.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22"/>
        <w:gridCol w:w="2409"/>
        <w:gridCol w:w="2731"/>
      </w:tblGrid>
      <w:tr w:rsidR="008E121C" w:rsidRPr="003669C0" w14:paraId="048FACB5" w14:textId="77777777" w:rsidTr="0016375E">
        <w:tc>
          <w:tcPr>
            <w:tcW w:w="2164" w:type="pct"/>
            <w:tcMar>
              <w:top w:w="0" w:type="dxa"/>
              <w:left w:w="0" w:type="dxa"/>
              <w:bottom w:w="0" w:type="dxa"/>
              <w:right w:w="0" w:type="dxa"/>
            </w:tcMar>
          </w:tcPr>
          <w:p w14:paraId="55B17A4F" w14:textId="77777777" w:rsidR="008E121C" w:rsidRPr="003669C0" w:rsidRDefault="008E121C" w:rsidP="0016375E">
            <w:pPr>
              <w:spacing w:before="240"/>
              <w:jc w:val="both"/>
              <w:rPr>
                <w:color w:val="auto"/>
              </w:rPr>
            </w:pPr>
            <w:r w:rsidRPr="003669C0">
              <w:rPr>
                <w:b/>
                <w:bCs/>
                <w:color w:val="auto"/>
              </w:rPr>
              <w:t>Công suất lò phản ứng (LPƯ)/</w:t>
            </w:r>
          </w:p>
        </w:tc>
        <w:tc>
          <w:tcPr>
            <w:tcW w:w="1329" w:type="pct"/>
            <w:tcMar>
              <w:top w:w="0" w:type="dxa"/>
              <w:left w:w="0" w:type="dxa"/>
              <w:bottom w:w="0" w:type="dxa"/>
              <w:right w:w="0" w:type="dxa"/>
            </w:tcMar>
          </w:tcPr>
          <w:p w14:paraId="14AE041D" w14:textId="77777777" w:rsidR="008E121C" w:rsidRPr="003669C0" w:rsidRDefault="008E121C" w:rsidP="0016375E">
            <w:pPr>
              <w:spacing w:before="240"/>
              <w:jc w:val="both"/>
              <w:rPr>
                <w:color w:val="auto"/>
              </w:rPr>
            </w:pPr>
            <w:r w:rsidRPr="003669C0">
              <w:rPr>
                <w:b/>
                <w:bCs/>
                <w:color w:val="auto"/>
              </w:rPr>
              <w:t>Bán kính khu vực lập kế hoạch mở rộng (EPD)</w:t>
            </w:r>
          </w:p>
        </w:tc>
        <w:tc>
          <w:tcPr>
            <w:tcW w:w="1507" w:type="pct"/>
            <w:tcMar>
              <w:top w:w="0" w:type="dxa"/>
              <w:left w:w="0" w:type="dxa"/>
              <w:bottom w:w="0" w:type="dxa"/>
              <w:right w:w="0" w:type="dxa"/>
            </w:tcMar>
          </w:tcPr>
          <w:p w14:paraId="72E09716" w14:textId="77777777" w:rsidR="008E121C" w:rsidRPr="003669C0" w:rsidRDefault="008E121C" w:rsidP="0016375E">
            <w:pPr>
              <w:spacing w:before="240"/>
              <w:jc w:val="both"/>
              <w:rPr>
                <w:color w:val="auto"/>
              </w:rPr>
            </w:pPr>
            <w:r w:rsidRPr="003669C0">
              <w:rPr>
                <w:b/>
                <w:bCs/>
                <w:color w:val="auto"/>
              </w:rPr>
              <w:t>Bán kính khu vực lập kế hoạch kiểm soát Iương thực, thực phẩm</w:t>
            </w:r>
          </w:p>
          <w:p w14:paraId="2D111CEE" w14:textId="77777777" w:rsidR="008E121C" w:rsidRPr="003669C0" w:rsidRDefault="008E121C" w:rsidP="0016375E">
            <w:pPr>
              <w:spacing w:before="240"/>
              <w:jc w:val="both"/>
              <w:rPr>
                <w:color w:val="auto"/>
              </w:rPr>
            </w:pPr>
            <w:r w:rsidRPr="003669C0">
              <w:rPr>
                <w:b/>
                <w:bCs/>
                <w:color w:val="auto"/>
              </w:rPr>
              <w:t>(ICPD)</w:t>
            </w:r>
          </w:p>
        </w:tc>
      </w:tr>
      <w:tr w:rsidR="008E121C" w:rsidRPr="003669C0" w14:paraId="5389D6D9" w14:textId="77777777" w:rsidTr="0016375E">
        <w:tc>
          <w:tcPr>
            <w:tcW w:w="2164" w:type="pct"/>
            <w:tcMar>
              <w:top w:w="0" w:type="dxa"/>
              <w:left w:w="0" w:type="dxa"/>
              <w:bottom w:w="0" w:type="dxa"/>
              <w:right w:w="0" w:type="dxa"/>
            </w:tcMar>
            <w:vAlign w:val="center"/>
          </w:tcPr>
          <w:p w14:paraId="16E151DB" w14:textId="77777777" w:rsidR="008E121C" w:rsidRPr="003669C0" w:rsidRDefault="008E121C" w:rsidP="0016375E">
            <w:pPr>
              <w:spacing w:before="240"/>
              <w:jc w:val="both"/>
              <w:rPr>
                <w:color w:val="auto"/>
              </w:rPr>
            </w:pPr>
            <w:r w:rsidRPr="003669C0">
              <w:rPr>
                <w:color w:val="auto"/>
              </w:rPr>
              <w:t>LPƯ &gt; 1000 MW (th)</w:t>
            </w:r>
          </w:p>
        </w:tc>
        <w:tc>
          <w:tcPr>
            <w:tcW w:w="1329" w:type="pct"/>
            <w:tcMar>
              <w:top w:w="0" w:type="dxa"/>
              <w:left w:w="0" w:type="dxa"/>
              <w:bottom w:w="0" w:type="dxa"/>
              <w:right w:w="0" w:type="dxa"/>
            </w:tcMar>
            <w:vAlign w:val="center"/>
          </w:tcPr>
          <w:p w14:paraId="5D0DF794" w14:textId="77777777" w:rsidR="008E121C" w:rsidRPr="003669C0" w:rsidRDefault="008E121C" w:rsidP="0016375E">
            <w:pPr>
              <w:spacing w:before="240"/>
              <w:jc w:val="both"/>
              <w:rPr>
                <w:color w:val="auto"/>
              </w:rPr>
            </w:pPr>
            <w:r w:rsidRPr="003669C0">
              <w:rPr>
                <w:color w:val="auto"/>
              </w:rPr>
              <w:t>100 km</w:t>
            </w:r>
          </w:p>
        </w:tc>
        <w:tc>
          <w:tcPr>
            <w:tcW w:w="1507" w:type="pct"/>
            <w:tcMar>
              <w:top w:w="0" w:type="dxa"/>
              <w:left w:w="0" w:type="dxa"/>
              <w:bottom w:w="0" w:type="dxa"/>
              <w:right w:w="0" w:type="dxa"/>
            </w:tcMar>
            <w:vAlign w:val="center"/>
          </w:tcPr>
          <w:p w14:paraId="7BDFCB5E" w14:textId="77777777" w:rsidR="008E121C" w:rsidRPr="003669C0" w:rsidRDefault="008E121C" w:rsidP="0016375E">
            <w:pPr>
              <w:spacing w:before="240"/>
              <w:jc w:val="both"/>
              <w:rPr>
                <w:color w:val="auto"/>
              </w:rPr>
            </w:pPr>
            <w:r w:rsidRPr="003669C0">
              <w:rPr>
                <w:color w:val="auto"/>
              </w:rPr>
              <w:t>300 km</w:t>
            </w:r>
          </w:p>
        </w:tc>
      </w:tr>
      <w:tr w:rsidR="008E121C" w:rsidRPr="003669C0" w14:paraId="18CFD6C3" w14:textId="77777777" w:rsidTr="0016375E">
        <w:tc>
          <w:tcPr>
            <w:tcW w:w="2164" w:type="pct"/>
            <w:tcMar>
              <w:top w:w="0" w:type="dxa"/>
              <w:left w:w="0" w:type="dxa"/>
              <w:bottom w:w="0" w:type="dxa"/>
              <w:right w:w="0" w:type="dxa"/>
            </w:tcMar>
            <w:vAlign w:val="center"/>
          </w:tcPr>
          <w:p w14:paraId="6A042CDA" w14:textId="77777777" w:rsidR="008E121C" w:rsidRPr="003669C0" w:rsidRDefault="008E121C" w:rsidP="0016375E">
            <w:pPr>
              <w:spacing w:before="240"/>
              <w:jc w:val="both"/>
              <w:rPr>
                <w:color w:val="auto"/>
              </w:rPr>
            </w:pPr>
            <w:r w:rsidRPr="003669C0">
              <w:rPr>
                <w:color w:val="auto"/>
              </w:rPr>
              <w:t>100 &lt; LPƯ ≤ 1000 MW (th)</w:t>
            </w:r>
          </w:p>
        </w:tc>
        <w:tc>
          <w:tcPr>
            <w:tcW w:w="1329" w:type="pct"/>
            <w:tcMar>
              <w:top w:w="0" w:type="dxa"/>
              <w:left w:w="0" w:type="dxa"/>
              <w:bottom w:w="0" w:type="dxa"/>
              <w:right w:w="0" w:type="dxa"/>
            </w:tcMar>
            <w:vAlign w:val="center"/>
          </w:tcPr>
          <w:p w14:paraId="3D39A839" w14:textId="77777777" w:rsidR="008E121C" w:rsidRPr="003669C0" w:rsidRDefault="008E121C" w:rsidP="0016375E">
            <w:pPr>
              <w:spacing w:before="240"/>
              <w:jc w:val="both"/>
              <w:rPr>
                <w:color w:val="auto"/>
              </w:rPr>
            </w:pPr>
            <w:r w:rsidRPr="003669C0">
              <w:rPr>
                <w:color w:val="auto"/>
              </w:rPr>
              <w:t>50 km</w:t>
            </w:r>
          </w:p>
        </w:tc>
        <w:tc>
          <w:tcPr>
            <w:tcW w:w="1507" w:type="pct"/>
            <w:tcMar>
              <w:top w:w="0" w:type="dxa"/>
              <w:left w:w="0" w:type="dxa"/>
              <w:bottom w:w="0" w:type="dxa"/>
              <w:right w:w="0" w:type="dxa"/>
            </w:tcMar>
            <w:vAlign w:val="center"/>
          </w:tcPr>
          <w:p w14:paraId="67F7644D" w14:textId="77777777" w:rsidR="008E121C" w:rsidRPr="003669C0" w:rsidRDefault="008E121C" w:rsidP="0016375E">
            <w:pPr>
              <w:spacing w:before="240"/>
              <w:jc w:val="both"/>
              <w:rPr>
                <w:color w:val="auto"/>
              </w:rPr>
            </w:pPr>
            <w:r w:rsidRPr="003669C0">
              <w:rPr>
                <w:color w:val="auto"/>
              </w:rPr>
              <w:t>100 km</w:t>
            </w:r>
          </w:p>
        </w:tc>
      </w:tr>
    </w:tbl>
    <w:p w14:paraId="786EA2D2" w14:textId="77777777" w:rsidR="008E121C" w:rsidRPr="003669C0" w:rsidRDefault="008E121C" w:rsidP="008E121C">
      <w:pPr>
        <w:spacing w:before="240"/>
        <w:jc w:val="both"/>
        <w:rPr>
          <w:color w:val="auto"/>
        </w:rPr>
      </w:pPr>
      <w:r w:rsidRPr="003669C0">
        <w:rPr>
          <w:color w:val="auto"/>
        </w:rPr>
        <w:t>Ghi chú:</w:t>
      </w:r>
    </w:p>
    <w:p w14:paraId="47694408" w14:textId="77777777" w:rsidR="008E121C" w:rsidRPr="003669C0" w:rsidRDefault="008E121C" w:rsidP="008E121C">
      <w:pPr>
        <w:spacing w:before="240"/>
        <w:jc w:val="both"/>
        <w:rPr>
          <w:color w:val="auto"/>
        </w:rPr>
      </w:pPr>
      <w:r w:rsidRPr="003669C0">
        <w:rPr>
          <w:color w:val="auto"/>
        </w:rPr>
        <w:t>- Tâm các đường tròn được lấy tại điểm có nguồn phát tán chất phóng xạ hoặc phân hạch.</w:t>
      </w:r>
    </w:p>
    <w:p w14:paraId="2C63B68E" w14:textId="77777777" w:rsidR="008E121C" w:rsidRPr="003669C0" w:rsidRDefault="008E121C" w:rsidP="008E121C">
      <w:pPr>
        <w:spacing w:before="240"/>
        <w:jc w:val="both"/>
        <w:rPr>
          <w:color w:val="auto"/>
        </w:rPr>
      </w:pPr>
      <w:r w:rsidRPr="003669C0">
        <w:rPr>
          <w:color w:val="auto"/>
        </w:rPr>
        <w:t>- Đường biên thực tế của các vùng có thể được thiết lập phù hợp với đặc trưng địa hình khu vực đó như đường giao thông, sông, biên giới quốc gia.</w:t>
      </w:r>
    </w:p>
    <w:p w14:paraId="085F42A7" w14:textId="77777777" w:rsidR="008E121C" w:rsidRPr="003669C0" w:rsidRDefault="008E121C" w:rsidP="008E121C">
      <w:pPr>
        <w:spacing w:before="240"/>
        <w:jc w:val="both"/>
        <w:rPr>
          <w:color w:val="auto"/>
        </w:rPr>
      </w:pPr>
      <w:r w:rsidRPr="003669C0">
        <w:rPr>
          <w:color w:val="auto"/>
        </w:rPr>
        <w:t>- Giá trị A/D quy định tại Quy chuẩn kỹ thuật quốc gia về phân nhóm và phân loại nguồn phóng xạ.</w:t>
      </w:r>
    </w:p>
    <w:p w14:paraId="651F33BC" w14:textId="3575100B" w:rsidR="00C41E69" w:rsidRPr="008E121C" w:rsidRDefault="008E121C" w:rsidP="008E121C">
      <w:pPr>
        <w:spacing w:before="240"/>
        <w:jc w:val="both"/>
        <w:rPr>
          <w:color w:val="auto"/>
        </w:rPr>
      </w:pPr>
      <w:r w:rsidRPr="003669C0">
        <w:rPr>
          <w:color w:val="auto"/>
        </w:rPr>
        <w:t> </w:t>
      </w:r>
    </w:p>
    <w:sectPr w:rsidR="00C41E69" w:rsidRPr="008E121C" w:rsidSect="00810C5E">
      <w:head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1E48" w14:textId="77777777" w:rsidR="007F3EEE" w:rsidRDefault="007F3EEE" w:rsidP="005A555F">
      <w:r>
        <w:separator/>
      </w:r>
    </w:p>
  </w:endnote>
  <w:endnote w:type="continuationSeparator" w:id="0">
    <w:p w14:paraId="5F85DEF4" w14:textId="77777777" w:rsidR="007F3EEE" w:rsidRDefault="007F3EEE" w:rsidP="005A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CB75" w14:textId="77777777" w:rsidR="007F3EEE" w:rsidRDefault="007F3EEE" w:rsidP="005A555F">
      <w:r>
        <w:separator/>
      </w:r>
    </w:p>
  </w:footnote>
  <w:footnote w:type="continuationSeparator" w:id="0">
    <w:p w14:paraId="1E529703" w14:textId="77777777" w:rsidR="007F3EEE" w:rsidRDefault="007F3EEE" w:rsidP="005A5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45794"/>
      <w:docPartObj>
        <w:docPartGallery w:val="Page Numbers (Top of Page)"/>
        <w:docPartUnique/>
      </w:docPartObj>
    </w:sdtPr>
    <w:sdtEndPr>
      <w:rPr>
        <w:noProof/>
        <w:color w:val="auto"/>
      </w:rPr>
    </w:sdtEndPr>
    <w:sdtContent>
      <w:p w14:paraId="3E303163" w14:textId="0845F05B" w:rsidR="005A555F" w:rsidRPr="005A555F" w:rsidRDefault="005A555F">
        <w:pPr>
          <w:pStyle w:val="Header"/>
          <w:jc w:val="center"/>
          <w:rPr>
            <w:color w:val="auto"/>
          </w:rPr>
        </w:pPr>
        <w:r w:rsidRPr="005A555F">
          <w:rPr>
            <w:color w:val="auto"/>
          </w:rPr>
          <w:fldChar w:fldCharType="begin"/>
        </w:r>
        <w:r w:rsidRPr="005A555F">
          <w:rPr>
            <w:color w:val="auto"/>
          </w:rPr>
          <w:instrText xml:space="preserve"> PAGE   \* MERGEFORMAT </w:instrText>
        </w:r>
        <w:r w:rsidRPr="005A555F">
          <w:rPr>
            <w:color w:val="auto"/>
          </w:rPr>
          <w:fldChar w:fldCharType="separate"/>
        </w:r>
        <w:r w:rsidRPr="005A555F">
          <w:rPr>
            <w:noProof/>
            <w:color w:val="auto"/>
          </w:rPr>
          <w:t>2</w:t>
        </w:r>
        <w:r w:rsidRPr="005A555F">
          <w:rPr>
            <w:noProof/>
            <w:color w:val="auto"/>
          </w:rPr>
          <w:fldChar w:fldCharType="end"/>
        </w:r>
      </w:p>
    </w:sdtContent>
  </w:sdt>
  <w:p w14:paraId="1F64273C" w14:textId="77777777" w:rsidR="005A555F" w:rsidRDefault="005A55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D3"/>
    <w:rsid w:val="00070E39"/>
    <w:rsid w:val="001102C4"/>
    <w:rsid w:val="00131130"/>
    <w:rsid w:val="00176E14"/>
    <w:rsid w:val="001C5284"/>
    <w:rsid w:val="002013C3"/>
    <w:rsid w:val="0026689A"/>
    <w:rsid w:val="002B4C14"/>
    <w:rsid w:val="005A555F"/>
    <w:rsid w:val="00632986"/>
    <w:rsid w:val="006636F1"/>
    <w:rsid w:val="0077423A"/>
    <w:rsid w:val="00775546"/>
    <w:rsid w:val="00783671"/>
    <w:rsid w:val="00783AE2"/>
    <w:rsid w:val="007F3EEE"/>
    <w:rsid w:val="00810C5E"/>
    <w:rsid w:val="00845958"/>
    <w:rsid w:val="008E121C"/>
    <w:rsid w:val="009D12E2"/>
    <w:rsid w:val="009D63DA"/>
    <w:rsid w:val="009D6C21"/>
    <w:rsid w:val="00A200B9"/>
    <w:rsid w:val="00A54C36"/>
    <w:rsid w:val="00B15EC5"/>
    <w:rsid w:val="00C41E69"/>
    <w:rsid w:val="00C64BEB"/>
    <w:rsid w:val="00C71D0F"/>
    <w:rsid w:val="00CE3EC4"/>
    <w:rsid w:val="00DA64C9"/>
    <w:rsid w:val="00F006D3"/>
    <w:rsid w:val="00F2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53CB"/>
  <w15:chartTrackingRefBased/>
  <w15:docId w15:val="{F175DB3E-A5EA-46F0-BADB-6EA09410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6D3"/>
    <w:pPr>
      <w:spacing w:after="0" w:line="240" w:lineRule="auto"/>
    </w:pPr>
    <w:rPr>
      <w:rFonts w:ascii="Times New Roman" w:eastAsia="Times New Roman" w:hAnsi="Times New Roman" w:cs="Times New Roman"/>
      <w:color w:val="0000FF"/>
      <w:sz w:val="28"/>
      <w:szCs w:val="28"/>
      <w:lang w:eastAsia="ko-KR"/>
    </w:rPr>
  </w:style>
  <w:style w:type="paragraph" w:styleId="Heading1">
    <w:name w:val="heading 1"/>
    <w:basedOn w:val="Normal"/>
    <w:next w:val="Normal"/>
    <w:link w:val="Heading1Char"/>
    <w:qFormat/>
    <w:rsid w:val="00F006D3"/>
    <w:pPr>
      <w:keepNext/>
      <w:spacing w:before="120" w:after="120" w:line="320" w:lineRule="exact"/>
      <w:outlineLvl w:val="0"/>
    </w:pPr>
    <w:rPr>
      <w:rFonts w:eastAsia="Malgun Gothic"/>
      <w:b/>
      <w:bCs/>
      <w:color w:val="auto"/>
      <w:kern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06D3"/>
    <w:rPr>
      <w:rFonts w:ascii="Times New Roman" w:eastAsia="Malgun Gothic" w:hAnsi="Times New Roman" w:cs="Times New Roman"/>
      <w:b/>
      <w:bCs/>
      <w:kern w:val="32"/>
      <w:sz w:val="28"/>
      <w:szCs w:val="28"/>
    </w:rPr>
  </w:style>
  <w:style w:type="character" w:styleId="CommentReference">
    <w:name w:val="annotation reference"/>
    <w:basedOn w:val="DefaultParagraphFont"/>
    <w:uiPriority w:val="99"/>
    <w:semiHidden/>
    <w:unhideWhenUsed/>
    <w:rsid w:val="002013C3"/>
    <w:rPr>
      <w:sz w:val="16"/>
      <w:szCs w:val="16"/>
    </w:rPr>
  </w:style>
  <w:style w:type="paragraph" w:styleId="CommentText">
    <w:name w:val="annotation text"/>
    <w:basedOn w:val="Normal"/>
    <w:link w:val="CommentTextChar"/>
    <w:uiPriority w:val="99"/>
    <w:semiHidden/>
    <w:unhideWhenUsed/>
    <w:rsid w:val="002013C3"/>
    <w:rPr>
      <w:sz w:val="20"/>
      <w:szCs w:val="20"/>
    </w:rPr>
  </w:style>
  <w:style w:type="character" w:customStyle="1" w:styleId="CommentTextChar">
    <w:name w:val="Comment Text Char"/>
    <w:basedOn w:val="DefaultParagraphFont"/>
    <w:link w:val="CommentText"/>
    <w:uiPriority w:val="99"/>
    <w:semiHidden/>
    <w:rsid w:val="002013C3"/>
    <w:rPr>
      <w:rFonts w:ascii="Times New Roman" w:eastAsia="Times New Roman" w:hAnsi="Times New Roman" w:cs="Times New Roman"/>
      <w:color w:val="0000FF"/>
      <w:sz w:val="20"/>
      <w:szCs w:val="20"/>
      <w:lang w:eastAsia="ko-KR"/>
    </w:rPr>
  </w:style>
  <w:style w:type="paragraph" w:styleId="CommentSubject">
    <w:name w:val="annotation subject"/>
    <w:basedOn w:val="CommentText"/>
    <w:next w:val="CommentText"/>
    <w:link w:val="CommentSubjectChar"/>
    <w:uiPriority w:val="99"/>
    <w:semiHidden/>
    <w:unhideWhenUsed/>
    <w:rsid w:val="002013C3"/>
    <w:rPr>
      <w:b/>
      <w:bCs/>
    </w:rPr>
  </w:style>
  <w:style w:type="character" w:customStyle="1" w:styleId="CommentSubjectChar">
    <w:name w:val="Comment Subject Char"/>
    <w:basedOn w:val="CommentTextChar"/>
    <w:link w:val="CommentSubject"/>
    <w:uiPriority w:val="99"/>
    <w:semiHidden/>
    <w:rsid w:val="002013C3"/>
    <w:rPr>
      <w:rFonts w:ascii="Times New Roman" w:eastAsia="Times New Roman" w:hAnsi="Times New Roman" w:cs="Times New Roman"/>
      <w:b/>
      <w:bCs/>
      <w:color w:val="0000FF"/>
      <w:sz w:val="20"/>
      <w:szCs w:val="20"/>
      <w:lang w:eastAsia="ko-KR"/>
    </w:rPr>
  </w:style>
  <w:style w:type="paragraph" w:styleId="Header">
    <w:name w:val="header"/>
    <w:basedOn w:val="Normal"/>
    <w:link w:val="HeaderChar"/>
    <w:uiPriority w:val="99"/>
    <w:unhideWhenUsed/>
    <w:rsid w:val="005A555F"/>
    <w:pPr>
      <w:tabs>
        <w:tab w:val="center" w:pos="4680"/>
        <w:tab w:val="right" w:pos="9360"/>
      </w:tabs>
    </w:pPr>
  </w:style>
  <w:style w:type="character" w:customStyle="1" w:styleId="HeaderChar">
    <w:name w:val="Header Char"/>
    <w:basedOn w:val="DefaultParagraphFont"/>
    <w:link w:val="Header"/>
    <w:uiPriority w:val="99"/>
    <w:rsid w:val="005A555F"/>
    <w:rPr>
      <w:rFonts w:ascii="Times New Roman" w:eastAsia="Times New Roman" w:hAnsi="Times New Roman" w:cs="Times New Roman"/>
      <w:color w:val="0000FF"/>
      <w:sz w:val="28"/>
      <w:szCs w:val="28"/>
      <w:lang w:eastAsia="ko-KR"/>
    </w:rPr>
  </w:style>
  <w:style w:type="paragraph" w:styleId="Footer">
    <w:name w:val="footer"/>
    <w:basedOn w:val="Normal"/>
    <w:link w:val="FooterChar"/>
    <w:uiPriority w:val="99"/>
    <w:unhideWhenUsed/>
    <w:rsid w:val="005A555F"/>
    <w:pPr>
      <w:tabs>
        <w:tab w:val="center" w:pos="4680"/>
        <w:tab w:val="right" w:pos="9360"/>
      </w:tabs>
    </w:pPr>
  </w:style>
  <w:style w:type="character" w:customStyle="1" w:styleId="FooterChar">
    <w:name w:val="Footer Char"/>
    <w:basedOn w:val="DefaultParagraphFont"/>
    <w:link w:val="Footer"/>
    <w:uiPriority w:val="99"/>
    <w:rsid w:val="005A555F"/>
    <w:rPr>
      <w:rFonts w:ascii="Times New Roman" w:eastAsia="Times New Roman" w:hAnsi="Times New Roman" w:cs="Times New Roman"/>
      <w:color w:val="0000FF"/>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2A4581-B4C7-4E2A-8405-473BBB097A61}"/>
</file>

<file path=customXml/itemProps2.xml><?xml version="1.0" encoding="utf-8"?>
<ds:datastoreItem xmlns:ds="http://schemas.openxmlformats.org/officeDocument/2006/customXml" ds:itemID="{0D1F259D-CBF7-4DCF-8E10-38DB62FFA951}"/>
</file>

<file path=customXml/itemProps3.xml><?xml version="1.0" encoding="utf-8"?>
<ds:datastoreItem xmlns:ds="http://schemas.openxmlformats.org/officeDocument/2006/customXml" ds:itemID="{12663348-ED0C-403E-8CF8-F975EC217801}"/>
</file>

<file path=docProps/app.xml><?xml version="1.0" encoding="utf-8"?>
<Properties xmlns="http://schemas.openxmlformats.org/officeDocument/2006/extended-properties" xmlns:vt="http://schemas.openxmlformats.org/officeDocument/2006/docPropsVTypes">
  <Template>Normal.dotm</Template>
  <TotalTime>5</TotalTime>
  <Pages>2</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Thinh Lai Tien</cp:lastModifiedBy>
  <cp:revision>15</cp:revision>
  <dcterms:created xsi:type="dcterms:W3CDTF">2026-01-12T09:32:00Z</dcterms:created>
  <dcterms:modified xsi:type="dcterms:W3CDTF">2026-01-13T00:56:00Z</dcterms:modified>
</cp:coreProperties>
</file>